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spacing w:after="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1)DESCRIÇÃO DA FERRAMENTA</w:t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“Momentos de Espelho”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Através de escrita reflexiva e feedback, os participantes refletem sobre as suas reações emocionais numa situação recente desafiante.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after="0" w:afterAutospacing="0" w:before="28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Desenvolver autoconhecimento pessoal.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Compreender os gatilhos emocionais.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Criar hábitos de auto-observação.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vertAlign w:val="baseline"/>
                <w:rtl w:val="0"/>
              </w:rPr>
              <w:t xml:space="preserve">3)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LIGAR A FERRAMENTA À COMPETÊNCIA</w:t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Self-awareness is the first step to emotional intelligence. This tool supports reflective practice.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vertAlign w:val="baseline"/>
                <w:rtl w:val="0"/>
              </w:rPr>
              <w:t xml:space="preserve">4) 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Journals or reflection sheets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Optional: trusted peer for feedback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5) COMO APLICAR A FERRAMENTA</w:t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Recordar um momento recente carregado de emoções.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Refletir: O que senti? Porquê?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Discutir padrões ou perceções.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Definir uma intenção para uma maior consciência futura.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vertAlign w:val="baseline"/>
                <w:rtl w:val="0"/>
              </w:rPr>
              <w:t xml:space="preserve">6)  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Quando nós compreendemos a nós próprios, conseguimos regular-nos melhor e relacionar-nos melhor com os outros.</w:t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vertAlign w:val="baseline"/>
                <w:rtl w:val="0"/>
              </w:rPr>
              <w:t xml:space="preserve">7) 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iCs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https://greatergood.berkeley.edu/topic/self-awareness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3752850</wp:posOffset>
              </wp:positionH>
              <wp:positionV relativeFrom="paragraph">
                <wp:posOffset>-333374</wp:posOffset>
              </wp:positionV>
              <wp:extent cx="2487503" cy="94297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39500" y="3505375"/>
                        <a:ext cx="2763900" cy="549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Autoconsciência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3752850</wp:posOffset>
              </wp:positionH>
              <wp:positionV relativeFrom="paragraph">
                <wp:posOffset>-333374</wp:posOffset>
              </wp:positionV>
              <wp:extent cx="2487503" cy="94297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87503" cy="9429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reatergood.berkeley.edu/topic/self-awareness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2.png"/><Relationship Id="rId2" Type="http://schemas.openxmlformats.org/officeDocument/2006/relationships/image" Target="media/image10.jpg"/><Relationship Id="rId3" Type="http://schemas.openxmlformats.org/officeDocument/2006/relationships/image" Target="media/image16.png"/><Relationship Id="rId4" Type="http://schemas.openxmlformats.org/officeDocument/2006/relationships/image" Target="media/image9.png"/><Relationship Id="rId5" Type="http://schemas.openxmlformats.org/officeDocument/2006/relationships/image" Target="media/image18.png"/><Relationship Id="rId6" Type="http://schemas.openxmlformats.org/officeDocument/2006/relationships/image" Target="media/image7.jp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h9IAR/49R7J3ydqsNZBEFznz0g==">CgMxLjA4AHIhMTVDMFhOalBlUS1vMFVuZG52ejZpMVhtQUlxamdBUDc2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2025-06-03T18:30:00Z</dcterms:created>
  <dc:creator>I and F</dc:creator>
</cp:coreProperties>
</file>